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6" w:rsidRPr="004254E6" w:rsidRDefault="004254E6" w:rsidP="004254E6">
      <w:pPr>
        <w:jc w:val="center"/>
        <w:rPr>
          <w:rFonts w:ascii="Arial" w:hAnsi="Arial" w:cs="Arial"/>
          <w:b/>
          <w:sz w:val="36"/>
          <w:szCs w:val="36"/>
        </w:rPr>
      </w:pPr>
      <w:r w:rsidRPr="004254E6">
        <w:rPr>
          <w:rFonts w:ascii="Arial" w:hAnsi="Arial" w:cs="Arial"/>
          <w:b/>
          <w:sz w:val="36"/>
          <w:szCs w:val="36"/>
        </w:rPr>
        <w:t xml:space="preserve">Guildhall Surgery </w:t>
      </w:r>
    </w:p>
    <w:p w:rsidR="004254E6" w:rsidRPr="004254E6" w:rsidRDefault="004254E6" w:rsidP="004254E6">
      <w:pPr>
        <w:jc w:val="center"/>
        <w:rPr>
          <w:rFonts w:ascii="Arial" w:hAnsi="Arial" w:cs="Arial"/>
          <w:b/>
          <w:sz w:val="36"/>
          <w:szCs w:val="36"/>
        </w:rPr>
      </w:pPr>
      <w:r w:rsidRPr="004254E6">
        <w:rPr>
          <w:rFonts w:ascii="Arial" w:hAnsi="Arial" w:cs="Arial"/>
          <w:b/>
          <w:sz w:val="36"/>
          <w:szCs w:val="36"/>
        </w:rPr>
        <w:t>Patient Survey 201</w:t>
      </w:r>
      <w:r w:rsidRPr="004254E6">
        <w:rPr>
          <w:rFonts w:ascii="Arial" w:hAnsi="Arial" w:cs="Arial"/>
          <w:b/>
          <w:sz w:val="36"/>
          <w:szCs w:val="36"/>
        </w:rPr>
        <w:t>8</w:t>
      </w:r>
      <w:r w:rsidRPr="004254E6">
        <w:rPr>
          <w:rFonts w:ascii="Arial" w:hAnsi="Arial" w:cs="Arial"/>
          <w:b/>
          <w:sz w:val="36"/>
          <w:szCs w:val="36"/>
        </w:rPr>
        <w:t xml:space="preserve"> </w:t>
      </w:r>
    </w:p>
    <w:p w:rsidR="004254E6" w:rsidRPr="00F055A2" w:rsidRDefault="004254E6" w:rsidP="004254E6">
      <w:pPr>
        <w:jc w:val="center"/>
        <w:rPr>
          <w:rFonts w:ascii="Arial" w:hAnsi="Arial" w:cs="Arial"/>
        </w:rPr>
      </w:pPr>
    </w:p>
    <w:p w:rsidR="004254E6" w:rsidRDefault="004254E6" w:rsidP="004254E6">
      <w:pPr>
        <w:rPr>
          <w:rFonts w:ascii="Arial" w:hAnsi="Arial" w:cs="Arial"/>
          <w:sz w:val="28"/>
          <w:szCs w:val="28"/>
        </w:rPr>
      </w:pPr>
      <w:r w:rsidRPr="00F055A2">
        <w:rPr>
          <w:rFonts w:ascii="Arial" w:hAnsi="Arial" w:cs="Arial"/>
          <w:sz w:val="28"/>
          <w:szCs w:val="28"/>
        </w:rPr>
        <w:t xml:space="preserve">Patients attending the surgery were asked to participate in a patient survey over the period of one month in </w:t>
      </w:r>
      <w:r>
        <w:rPr>
          <w:rFonts w:ascii="Arial" w:hAnsi="Arial" w:cs="Arial"/>
          <w:sz w:val="28"/>
          <w:szCs w:val="28"/>
        </w:rPr>
        <w:t>January 2018</w:t>
      </w:r>
      <w:r w:rsidRPr="00F055A2">
        <w:rPr>
          <w:rFonts w:ascii="Arial" w:hAnsi="Arial" w:cs="Arial"/>
          <w:sz w:val="28"/>
          <w:szCs w:val="28"/>
        </w:rPr>
        <w:t>. The GP’s would like to thank all patients that participated. The results are shown in the tables and graphs below:</w:t>
      </w:r>
    </w:p>
    <w:p w:rsidR="004254E6" w:rsidRDefault="004254E6" w:rsidP="004254E6">
      <w:pPr>
        <w:rPr>
          <w:rFonts w:ascii="Arial" w:hAnsi="Arial" w:cs="Arial"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320"/>
        <w:gridCol w:w="1300"/>
        <w:gridCol w:w="960"/>
        <w:gridCol w:w="1460"/>
        <w:gridCol w:w="1480"/>
        <w:gridCol w:w="1420"/>
      </w:tblGrid>
      <w:tr w:rsidR="004254E6" w:rsidRPr="00F055A2" w:rsidTr="00B9698E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Difficult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Not Tried</w:t>
            </w:r>
          </w:p>
        </w:tc>
      </w:tr>
      <w:tr w:rsidR="004254E6" w:rsidRPr="00F055A2" w:rsidTr="00B9698E">
        <w:trPr>
          <w:trHeight w:val="11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How easy was it to book a 'soon' appointment within the 4 week booking system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10%</w:t>
            </w:r>
          </w:p>
        </w:tc>
      </w:tr>
      <w:tr w:rsidR="004254E6" w:rsidRPr="00F055A2" w:rsidTr="00B9698E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How easy was it to book a 'routine' appointment within the 4-6 week booking system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4%</w:t>
            </w:r>
          </w:p>
        </w:tc>
      </w:tr>
      <w:tr w:rsidR="004254E6" w:rsidRPr="00F055A2" w:rsidTr="00B9698E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254E6" w:rsidRPr="00F055A2" w:rsidTr="00B9698E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254E6" w:rsidRPr="00F055A2" w:rsidTr="00B9698E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Not Answered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254E6" w:rsidRPr="00F055A2" w:rsidTr="00B9698E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Were you seen by the GP/Nurse within 30 minutes of your appointment time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6%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254E6" w:rsidRPr="00F055A2" w:rsidTr="00B9698E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254E6" w:rsidRPr="00F055A2" w:rsidTr="00B9698E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254E6" w:rsidRPr="00F055A2" w:rsidTr="00B9698E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Very Helpful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Helpful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Unhelpful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Very Unhelpful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Didn't Answer</w:t>
            </w:r>
          </w:p>
        </w:tc>
      </w:tr>
      <w:tr w:rsidR="004254E6" w:rsidRPr="00F055A2" w:rsidTr="00B9698E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lang w:eastAsia="en-GB"/>
              </w:rPr>
              <w:t>How helpful do you find the receptionists at the practice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E6" w:rsidRPr="00F055A2" w:rsidRDefault="004254E6" w:rsidP="00B96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55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6%</w:t>
            </w:r>
          </w:p>
        </w:tc>
      </w:tr>
    </w:tbl>
    <w:p w:rsidR="004254E6" w:rsidRDefault="004254E6"/>
    <w:p w:rsidR="004254E6" w:rsidRDefault="004254E6">
      <w:r>
        <w:br w:type="page"/>
      </w:r>
    </w:p>
    <w:p w:rsidR="004254E6" w:rsidRDefault="004254E6" w:rsidP="004254E6">
      <w:pPr>
        <w:rPr>
          <w:rFonts w:ascii="Arial" w:hAnsi="Arial" w:cs="Arial"/>
          <w:sz w:val="28"/>
          <w:szCs w:val="28"/>
        </w:rPr>
      </w:pPr>
      <w:r w:rsidRPr="00F055A2">
        <w:rPr>
          <w:rFonts w:ascii="Arial" w:hAnsi="Arial" w:cs="Arial"/>
          <w:sz w:val="28"/>
          <w:szCs w:val="28"/>
        </w:rPr>
        <w:lastRenderedPageBreak/>
        <w:t>Results of questions patients were asked regarding their visits to a GP:</w:t>
      </w:r>
    </w:p>
    <w:p w:rsidR="004254E6" w:rsidRDefault="004254E6" w:rsidP="004254E6">
      <w:pPr>
        <w:rPr>
          <w:rFonts w:ascii="Arial" w:hAnsi="Arial" w:cs="Arial"/>
          <w:sz w:val="28"/>
          <w:szCs w:val="28"/>
        </w:rPr>
      </w:pPr>
    </w:p>
    <w:p w:rsidR="004254E6" w:rsidRDefault="004254E6" w:rsidP="004254E6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5F63A5F" wp14:editId="122A2D00">
            <wp:extent cx="5731510" cy="3740178"/>
            <wp:effectExtent l="0" t="0" r="2159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4254E6" w:rsidRDefault="004254E6" w:rsidP="004254E6">
      <w:pPr>
        <w:rPr>
          <w:rFonts w:ascii="Arial" w:hAnsi="Arial" w:cs="Arial"/>
          <w:sz w:val="28"/>
          <w:szCs w:val="28"/>
        </w:rPr>
      </w:pPr>
    </w:p>
    <w:p w:rsidR="004254E6" w:rsidRPr="00F055A2" w:rsidRDefault="004254E6" w:rsidP="004254E6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70D0E59" wp14:editId="4AEC52C2">
            <wp:extent cx="5731510" cy="3378897"/>
            <wp:effectExtent l="0" t="0" r="21590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58A0" w:rsidRDefault="002858A0"/>
    <w:sectPr w:rsidR="00285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6"/>
    <w:rsid w:val="002858A0"/>
    <w:rsid w:val="004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latin typeface="Calibri" panose="020F0502020204030204" pitchFamily="34" charset="0"/>
              </a:defRPr>
            </a:pPr>
            <a:r>
              <a:rPr lang="en-GB" baseline="0">
                <a:latin typeface="Calibri" panose="020F0502020204030204" pitchFamily="34" charset="0"/>
              </a:rPr>
              <a:t>GP Appointments - 34 Appts </a:t>
            </a:r>
          </a:p>
        </c:rich>
      </c:tx>
      <c:layout>
        <c:manualLayout>
          <c:xMode val="edge"/>
          <c:yMode val="edge"/>
          <c:x val="0.270640844811599"/>
          <c:y val="1.75054744810614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100663887602285E-2"/>
          <c:y val="0.11993506199656077"/>
          <c:w val="0.793389561320479"/>
          <c:h val="0.68120282378495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Sheet1!$B$7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Sheet1!$A$8:$A$12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Sheet1!$B$8:$B$12</c:f>
              <c:numCache>
                <c:formatCode>General</c:formatCode>
                <c:ptCount val="5"/>
                <c:pt idx="0">
                  <c:v>25</c:v>
                </c:pt>
                <c:pt idx="1">
                  <c:v>27</c:v>
                </c:pt>
                <c:pt idx="2">
                  <c:v>24</c:v>
                </c:pt>
                <c:pt idx="3">
                  <c:v>22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Sheet1!$C$7</c:f>
              <c:strCache>
                <c:ptCount val="1"/>
                <c:pt idx="0">
                  <c:v>Very Good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Sheet1!$A$8:$A$12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Sheet1!$C$8:$C$12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Sheet1!$D$7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Sheet1!$A$8:$A$12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Sheet1!$D$8:$D$12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Sheet1!$E$7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1317393342709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257313827332766E-3"/>
                  <c:y val="1.72413793103448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0.0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Sheet1!$A$8:$A$12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Sheet1!$E$8:$E$12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Sheet1!$F$7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Sheet1!$A$8:$A$12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Sheet1!$F$8:$F$12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Sheet1!$G$7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Sheet1!$A$8:$A$12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-55"/>
        <c:axId val="197271552"/>
        <c:axId val="197273088"/>
      </c:barChart>
      <c:catAx>
        <c:axId val="197271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273088"/>
        <c:crossesAt val="0"/>
        <c:auto val="1"/>
        <c:lblAlgn val="ctr"/>
        <c:lblOffset val="100"/>
        <c:noMultiLvlLbl val="0"/>
      </c:catAx>
      <c:valAx>
        <c:axId val="197273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7271552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Nurse</a:t>
            </a:r>
            <a:r>
              <a:rPr lang="en-GB" baseline="0"/>
              <a:t> Appointments - 11 Appts</a:t>
            </a:r>
            <a:endParaRPr lang="en-GB"/>
          </a:p>
        </c:rich>
      </c:tx>
      <c:layout>
        <c:manualLayout>
          <c:xMode val="edge"/>
          <c:yMode val="edge"/>
          <c:x val="0.22472979055039646"/>
          <c:y val="1.458789540088455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Sheet1!$B$15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Sheet1!$A$16:$A$20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Sheet1!$B$16:$B$20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2"/>
          <c:order val="1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Sheet1!$A$16:$A$20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Sheet1!$C$16:$C$20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2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Sheet1!$A$16:$A$20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Sheet1!$D$16:$D$20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4"/>
          <c:order val="3"/>
          <c:tx>
            <c:strRef>
              <c:f>Sheet1!$E$15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Sheet1!$A$16:$A$20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Sheet1!$E$16:$E$20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5"/>
          <c:order val="4"/>
          <c:tx>
            <c:strRef>
              <c:f>Sheet1!$F$15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Sheet1!$A$16:$A$20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Sheet1!$F$16:$F$20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6"/>
          <c:order val="5"/>
          <c:tx>
            <c:strRef>
              <c:f>Sheet1!$G$15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Sheet1!$A$16:$A$20</c:f>
              <c:strCache>
                <c:ptCount val="5"/>
                <c:pt idx="0">
                  <c:v>Giving you enough time</c:v>
                </c:pt>
                <c:pt idx="1">
                  <c:v>Listening to you</c:v>
                </c:pt>
                <c:pt idx="2">
                  <c:v>Explaining test, medication and treatment</c:v>
                </c:pt>
                <c:pt idx="3">
                  <c:v>Involving you in decisions about your care</c:v>
                </c:pt>
                <c:pt idx="4">
                  <c:v>Treating you with care concern</c:v>
                </c:pt>
              </c:strCache>
            </c:strRef>
          </c:cat>
          <c:val>
            <c:numRef>
              <c:f>Sheet1!$G$16:$G$20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-55"/>
        <c:axId val="197737856"/>
        <c:axId val="197342336"/>
      </c:barChart>
      <c:catAx>
        <c:axId val="197737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342336"/>
        <c:crossesAt val="0"/>
        <c:auto val="1"/>
        <c:lblAlgn val="ctr"/>
        <c:lblOffset val="100"/>
        <c:noMultiLvlLbl val="0"/>
      </c:catAx>
      <c:valAx>
        <c:axId val="197342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773785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Radford</dc:creator>
  <cp:lastModifiedBy>Jenna Radford</cp:lastModifiedBy>
  <cp:revision>1</cp:revision>
  <dcterms:created xsi:type="dcterms:W3CDTF">2018-03-27T13:07:00Z</dcterms:created>
  <dcterms:modified xsi:type="dcterms:W3CDTF">2018-03-27T13:12:00Z</dcterms:modified>
</cp:coreProperties>
</file>